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ca9e8f33325ee3b9dc51d46f8c3c72da39d2d"/>
    <w:p>
      <w:pPr>
        <w:pStyle w:val="Heading3"/>
      </w:pPr>
      <w:r>
        <w:t xml:space="preserve">Зеленоградские предприятия торговли и услуг участвуют в конкурсе на лучшее новогоднее оформление  </w:t>
      </w:r>
    </w:p>
    <w:p>
      <w:pPr>
        <w:pStyle w:val="FirstParagraph"/>
      </w:pPr>
      <w:r>
        <w:t xml:space="preserve">05.02.2024</w:t>
      </w:r>
    </w:p>
    <w:p>
      <w:pPr>
        <w:pStyle w:val="BodyText"/>
      </w:pPr>
      <w:r>
        <w:rPr>
          <w:bCs/>
          <w:b/>
        </w:rPr>
        <w:t xml:space="preserve">05.02.2024</w:t>
      </w:r>
    </w:p>
    <w:p>
      <w:pPr>
        <w:pStyle w:val="BodyText"/>
      </w:pPr>
      <w:r>
        <w:drawing>
          <wp:inline>
            <wp:extent cx="2286000" cy="152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-krukovo.mos.ru/www/upload_local/resize_cache/9054309/b0348a76076461904ec3609a60122fba/iblock/320/3206688c5ed27ec44e5f85bf521002de/Zelenogradskie-predpriyatiya-torgovli-i-uslug-uchastvuyut-v-konkurse-na-luchshee-novogodnee-oformlenie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проекте «Активный гражданин» открылась серия голосований по выбору победителей конкурса на лучшее новогоднее оформление фасадов столичных предприятий сферы торговли и услуг. Как рассказал заместитель префекта округа Дмитрий Лавров, в конкурсе принимают участие и предприятия от Зеленограда.</w:t>
      </w:r>
    </w:p>
    <w:p>
      <w:pPr>
        <w:pStyle w:val="BodyText"/>
      </w:pPr>
      <w:r>
        <w:t xml:space="preserve">Всего в этом году в рамках конкурса определят 165 призеров. Общий призовой фонд составит 150 миллионов рублей.</w:t>
      </w:r>
    </w:p>
    <w:p>
      <w:pPr>
        <w:pStyle w:val="BodyText"/>
      </w:pPr>
      <w:r>
        <w:t xml:space="preserve">– От предприятий торговли и услуг Зеленограда было подано 16 заявок на участие в городском конкурсе по 4 номинациям и 135 заявок на участие в окружном конкурсе по 5 номинациям, – отметил Дмитрий Лавров.</w:t>
      </w:r>
    </w:p>
    <w:p>
      <w:pPr>
        <w:pStyle w:val="BodyText"/>
      </w:pPr>
      <w:r>
        <w:t xml:space="preserve">Голосование продлиться до 16 февраля, а победителей объявят до 22 февраля.</w:t>
      </w:r>
    </w:p>
    <w:p>
      <w:pPr>
        <w:pStyle w:val="BodyText"/>
      </w:pPr>
      <w:r>
        <w:t xml:space="preserve">В голосовании могут участвовать пользователи проекта «Активный гражданин», имеющие стандартную или полную учетную запись на портале mos.ru.</w:t>
      </w:r>
    </w:p>
    <w:p>
      <w:pPr>
        <w:pStyle w:val="BodyText"/>
      </w:pPr>
      <w:r>
        <w:rPr>
          <w:bCs/>
          <w:b/>
        </w:rPr>
        <w:t xml:space="preserve">Фото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http://st-krukovo.mos.ru/presscenter/news/detail/12145698.html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1456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t-krukovo.mos.ru" TargetMode="External" /><Relationship Type="http://schemas.openxmlformats.org/officeDocument/2006/relationships/hyperlink" Id="rId23" Target="http://st-krukovo.mos.ru/presscenter/news/detail/121456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2024-07-15T19:05:55Z</dcterms:created>
  <dcterms:modified xsi:type="dcterms:W3CDTF">2024-07-15T19:05:55Z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