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b3fc34d291c1775e23f5cd2ed5066be502025"/>
    <w:p>
      <w:pPr>
        <w:pStyle w:val="Heading3"/>
      </w:pPr>
      <w:r>
        <w:t xml:space="preserve">Информационное сообщение для участников алкогольного рынка от 3 сентября 2015 года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t xml:space="preserve">30.06.2015 вступил в законную силу Федеральный закон от 29.06.2015 №182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расширяющий перечень лиц, обязанных представлять сведения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 (далее – ЕГАИС), и устанавливающий срок исполнения ими обязанностей по передаче сведений в ЕГАИС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Осуществляемый вид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Фиксация в ЕГАИС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 вступления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Организации, осуществляющие производство пива и пивных напитков, сидра, пуаре, медовухи, с производственной мощностью более 300 тысяч декалитров в год и оснащенных основным технологическим оборудованием в соответствии с Распоряжение Правительства РФ от 13.01.2006 N 17-р «Об утверждении перечня видов основного технологического оборудования для производства и оборота этилового спирта, алкогольной и спиртосодержащей продукции»</w:t>
            </w:r>
          </w:p>
        </w:tc>
        <w:tc>
          <w:tcPr/>
          <w:p>
            <w:pPr>
              <w:jc w:val="left"/>
            </w:pPr>
            <w:r>
              <w:t xml:space="preserve">В части отражения производства и оборота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Организации, осуществляющие производство пива и пивных напитков, сидра, пуаре, медовухи, с производственной мощностью менее 300 тысяч декалитров в год и оснащенных основным технологическим оборудованием в соответствии с Распоряжение Правительства РФ от 13.01.2006 N 17-р «Об утверждении перечня видов основного технологического оборудования для производства и оборота этилового спирта, алкогольной и спиртосодержащей продукции»</w:t>
            </w:r>
          </w:p>
        </w:tc>
        <w:tc>
          <w:tcPr/>
          <w:p>
            <w:pPr>
              <w:jc w:val="left"/>
            </w:pPr>
            <w:r>
              <w:t xml:space="preserve">В части отражения оборота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/>
          <w:p>
            <w:pPr>
              <w:jc w:val="left"/>
            </w:pPr>
            <w:r>
              <w:t xml:space="preserve">Организации, осуществляющие закупку, хранение и поставку алкогольной и спиртосодержащей продукции</w:t>
            </w:r>
          </w:p>
        </w:tc>
        <w:tc>
          <w:tcPr/>
          <w:p>
            <w:pPr>
              <w:jc w:val="left"/>
            </w:pPr>
            <w:r>
              <w:t xml:space="preserve">В части отражения оборота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/>
          <w:p>
            <w:pPr>
              <w:jc w:val="left"/>
            </w:pPr>
            <w:r>
              <w:t xml:space="preserve">Индивидуальные предприниматели, осуществляющих закупку пива и пивных напитков, сидра, пуаре, медовухи в целях последующей розничной продажи такой продукции, должны обеспечивать прием и передачу информации об обороте такой продукции</w:t>
            </w:r>
          </w:p>
        </w:tc>
        <w:tc>
          <w:tcPr/>
          <w:p>
            <w:pPr>
              <w:jc w:val="left"/>
            </w:pPr>
            <w:r>
              <w:t xml:space="preserve">В части подтверждения факта закупки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Организации, осуществляющие розничную продажу алкогольной продукции в городских поселениях</w:t>
            </w:r>
          </w:p>
        </w:tc>
        <w:tc>
          <w:tcPr/>
          <w:p>
            <w:pPr>
              <w:jc w:val="left"/>
            </w:pPr>
            <w:r>
              <w:t xml:space="preserve">В части подтверждения факта закупки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части розничной продажи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01.07.2016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Организации, осуществляющие розничную продажу алкогольной продукции в сельских поселениях</w:t>
            </w:r>
          </w:p>
        </w:tc>
        <w:tc>
          <w:tcPr/>
          <w:p>
            <w:pPr>
              <w:jc w:val="left"/>
            </w:pPr>
            <w:r>
              <w:t xml:space="preserve">В части подтверждения факта закупки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части розничной продажи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01.07.2017</w:t>
            </w:r>
          </w:p>
        </w:tc>
      </w:tr>
    </w:tbl>
    <w:p>
      <w:pPr>
        <w:pStyle w:val="BodyText"/>
      </w:pPr>
      <w:r>
        <w:t xml:space="preserve">Видео - инструкция по подключению доступна по ссылкам на портале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http://egais.ru</w:t>
        </w:r>
      </w:hyperlink>
      <w:r>
        <w:rPr>
          <w:bCs/>
          <w:b/>
        </w:rPr>
        <w:t xml:space="preserve">,</w:t>
      </w:r>
      <w:r>
        <w:t xml:space="preserve"> </w:t>
      </w:r>
      <w:r>
        <w:t xml:space="preserve">там же Росалкогольрегулированием размещены техническая документация и инструкции по подключению к системе ЕГАИС.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http://st-krukovo.mos.ru/presscenter/news/detail/2125364.html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gais.ru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2125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gais.ru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2125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2025-03-02T12:46:54Z</dcterms:created>
  <dcterms:modified xsi:type="dcterms:W3CDTF">2025-03-02T12:46:54Z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