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cd40affd83d23ec4930f2d5adf293f72392c0"/>
    <w:p>
      <w:pPr>
        <w:pStyle w:val="Heading3"/>
      </w:pPr>
      <w:r>
        <w:t xml:space="preserve">В Старом Крюково завершены работы по благоустройству зон отдыха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t xml:space="preserve">В рамках опроса по благоустройству зон отдыха в районе Старое Крюково на портале «Активный гражданин» с 3 по 17 декабря, жители района Старое Крюково решили, что лавочки нужно установить и в сквере у памятника Пушкину (корп. 820), и вдоль дорожки от магазина «Перекресток» до корп. 901.</w:t>
      </w:r>
    </w:p>
    <w:p>
      <w:pPr>
        <w:pStyle w:val="BodyText"/>
      </w:pPr>
      <w:r>
        <w:t xml:space="preserve">Работы закончены, так же выполнены работы по благоустройству территории в сквере.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401002/615a3c08ed218588d4af7b453f29c069/iblock/0db/0dbcdc4ad709d0346b27c869e4170de7/fayl_001_6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http://st-krukovo.mos.ru/presscenter/news/detail/3263497.html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263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263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2025-08-05T12:58:43Z</dcterms:created>
  <dcterms:modified xsi:type="dcterms:W3CDTF">2025-08-05T12:58:43Z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