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841aa03051634e4e5d58f878b59841db52cc7e"/>
    <w:p>
      <w:pPr>
        <w:pStyle w:val="Heading3"/>
      </w:pPr>
      <w:r>
        <w:t xml:space="preserve">Город окажет консультационную помощь собственникам 310 домов, активно участвовавшим в голосовании на портале «Активный гражданин»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851381/eaa4c0853c55214af75dd8794a52c802/iblock/6dc/6dc0b0b85cf5795acb3a2700aeb9c302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 окажет консультационную помощь в выборе варианта накопления средств на капремонт собственникам 310 домов, активно участвовавшим в голосовании на портале «Активный гражданин».</w:t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города Москвы опубликован список 310 домов</w:t>
        </w:r>
      </w:hyperlink>
      <w:r>
        <w:t xml:space="preserve">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 и выразили пожелание получить организационную поддержку города.</w:t>
      </w:r>
    </w:p>
    <w:p>
      <w:pPr>
        <w:pStyle w:val="BodyText"/>
      </w:pPr>
      <w:r>
        <w:t xml:space="preserve">В августе 2016 года завершилось голосование на портале онлайн-референдумов Правительства Москвы «Активный гражданин» по вопросу: «Спецсчет для вашего дома. Кому поможет город?», в котором приняли участие 147 553 активных гражданина. Из них 26,56% (39 190человек) проголосовали за получение помощи города при переходе на накопление средств на капитальный ремонт дома на специальном счете в банке.</w:t>
      </w:r>
    </w:p>
    <w:p>
      <w:pPr>
        <w:pStyle w:val="BodyText"/>
      </w:pPr>
      <w:r>
        <w:t xml:space="preserve">Собственники этих домов будут приглашены на встречу для обсуждения вариантов накопления средств,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Если по итогам встреч будут созданы инициативные группы собственников конкретного дома, а «активные граждане» выразят готовность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работы, если они решили копить взносы на специальном счете своего дома, то город поможет подготовить документы и организовать общие собрания собственников для оформления такого решения.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</w:t>
      </w:r>
      <w:r>
        <w:br/>
      </w:r>
      <w:hyperlink r:id="rId24">
        <w:r>
          <w:rPr>
            <w:rStyle w:val="Hyperlink"/>
          </w:rPr>
          <w:t xml:space="preserve">http://fond.mos.ru/presscenter/news/detail/4269963.html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http://st-krukovo.mos.ru/presscenter/news/detail/4278622.html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ond.mos.ru/presscenter/news/detail/4269963.html" TargetMode="External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4278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/presscenter/news/detail/4269963.html" TargetMode="External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4278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2024-08-23T10:14:35Z</dcterms:created>
  <dcterms:modified xsi:type="dcterms:W3CDTF">2024-08-23T10:14:35Z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